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Al Isra'a Wal Mi'raj (Ascension Day)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30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1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2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3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4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Arafat (Haj)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(Feast of Sacrifice)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1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2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Al Hijri (Islamic New Year)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Birthday of Prophet Mohammad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Commemoration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