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Chinese New Year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